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9"/>
        <w:gridCol w:w="4456"/>
      </w:tblGrid>
      <w:tr w:rsidR="000A0311" w:rsidRPr="00A85B6F" w14:paraId="53A5C586" w14:textId="77777777" w:rsidTr="000A0311">
        <w:trPr>
          <w:trHeight w:val="11526"/>
        </w:trPr>
        <w:tc>
          <w:tcPr>
            <w:tcW w:w="6209" w:type="dxa"/>
            <w:tcBorders>
              <w:right w:val="single" w:sz="12" w:space="0" w:color="FFCA08" w:themeColor="accent1"/>
            </w:tcBorders>
            <w:tcMar>
              <w:bottom w:w="0" w:type="dxa"/>
              <w:right w:w="0" w:type="dxa"/>
            </w:tcMar>
          </w:tcPr>
          <w:tbl>
            <w:tblPr>
              <w:tblW w:w="4776" w:type="pct"/>
              <w:tblInd w:w="25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917"/>
            </w:tblGrid>
            <w:tr w:rsidR="000A0311" w:rsidRPr="00A85B6F" w14:paraId="7672908E" w14:textId="77777777" w:rsidTr="000A0311">
              <w:trPr>
                <w:trHeight w:val="1"/>
              </w:trPr>
              <w:tc>
                <w:tcPr>
                  <w:tcW w:w="5000" w:type="pct"/>
                  <w:tcBorders>
                    <w:bottom w:val="single" w:sz="12" w:space="0" w:color="FFCA08" w:themeColor="accent1"/>
                  </w:tcBorders>
                </w:tcPr>
                <w:p w14:paraId="5F91C655" w14:textId="3FFFDFBA" w:rsidR="00184664" w:rsidRPr="008B62A0" w:rsidRDefault="00270AB4" w:rsidP="00270AB4">
                  <w:pPr>
                    <w:pStyle w:val="Heading2"/>
                    <w:spacing w:before="0" w:after="0" w:line="288" w:lineRule="atLeast"/>
                    <w:textAlignment w:val="baseline"/>
                    <w:rPr>
                      <w:rFonts w:ascii="Bradley Hand" w:hAnsi="Bradley Hand"/>
                      <w:sz w:val="22"/>
                      <w:szCs w:val="22"/>
                    </w:rPr>
                  </w:pPr>
                  <w:r>
                    <w:rPr>
                      <w:rFonts w:ascii="Bradley Hand" w:eastAsia="Times New Roman" w:hAnsi="Bradley Hand" w:cs="Apple Chancery"/>
                      <w:b/>
                      <w:bCs/>
                      <w:color w:val="333333"/>
                      <w:sz w:val="22"/>
                      <w:szCs w:val="22"/>
                      <w:bdr w:val="none" w:sz="0" w:space="0" w:color="auto" w:frame="1"/>
                    </w:rPr>
                    <w:t xml:space="preserve">The day of coordination package is for the couple that has done the majority of the planning. and its time for the bride &amp; groom to enjoy the special day, while we ensure the day to flow seamlessly! </w:t>
                  </w:r>
                  <w:r w:rsidR="006A204C" w:rsidRPr="008B62A0">
                    <w:rPr>
                      <w:rFonts w:ascii="Bradley Hand" w:eastAsia="Times New Roman" w:hAnsi="Bradley Hand" w:cs="Apple Chancery"/>
                      <w:b/>
                      <w:bCs/>
                      <w:color w:val="333333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0A0311" w:rsidRPr="00A85B6F" w14:paraId="4B56D5DD" w14:textId="77777777" w:rsidTr="000A0311">
              <w:trPr>
                <w:trHeight w:val="6763"/>
              </w:trPr>
              <w:tc>
                <w:tcPr>
                  <w:tcW w:w="5000" w:type="pct"/>
                  <w:tcBorders>
                    <w:top w:val="single" w:sz="12" w:space="0" w:color="FFCA08" w:themeColor="accent1"/>
                    <w:left w:val="single" w:sz="12" w:space="0" w:color="FFCA08" w:themeColor="accent1"/>
                    <w:bottom w:val="single" w:sz="12" w:space="0" w:color="FFCA08" w:themeColor="accent1"/>
                    <w:right w:val="nil"/>
                  </w:tcBorders>
                  <w:tcMar>
                    <w:top w:w="403" w:type="dxa"/>
                  </w:tcMar>
                </w:tcPr>
                <w:p w14:paraId="24208416" w14:textId="77777777" w:rsidR="00362C4A" w:rsidRPr="000A0311" w:rsidRDefault="006A204C" w:rsidP="006A204C">
                  <w:pPr>
                    <w:pStyle w:val="Date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A0311">
                    <w:rPr>
                      <w:b/>
                      <w:sz w:val="28"/>
                      <w:szCs w:val="28"/>
                      <w:u w:val="single"/>
                    </w:rPr>
                    <w:t>Includes</w:t>
                  </w:r>
                </w:p>
                <w:p w14:paraId="65B9BB89" w14:textId="069888AD" w:rsidR="00270AB4" w:rsidRDefault="00270AB4" w:rsidP="00270AB4">
                  <w:pPr>
                    <w:pStyle w:val="font8"/>
                    <w:numPr>
                      <w:ilvl w:val="0"/>
                      <w:numId w:val="2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Includes comprehensive meeting to go over timeline, floor plan, and wedding details 10 days to 2 weeks out from wedding. </w:t>
                  </w:r>
                </w:p>
                <w:p w14:paraId="215C58DA" w14:textId="77777777" w:rsidR="00270AB4" w:rsidRDefault="00270AB4" w:rsidP="00270AB4">
                  <w:pPr>
                    <w:pStyle w:val="font8"/>
                    <w:numPr>
                      <w:ilvl w:val="0"/>
                      <w:numId w:val="2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Meet with and/or contact vendors to verify arrival times, confirm services and discuss important details</w:t>
                  </w:r>
                </w:p>
                <w:p w14:paraId="6EC9741E" w14:textId="77777777" w:rsidR="00270AB4" w:rsidRDefault="00270AB4" w:rsidP="00270AB4">
                  <w:pPr>
                    <w:pStyle w:val="font8"/>
                    <w:numPr>
                      <w:ilvl w:val="0"/>
                      <w:numId w:val="2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Create wedding day timeline &amp; distribute to vendors</w:t>
                  </w:r>
                </w:p>
                <w:p w14:paraId="41788355" w14:textId="77777777" w:rsidR="00270AB4" w:rsidRDefault="00270AB4" w:rsidP="00270AB4">
                  <w:pPr>
                    <w:pStyle w:val="font8"/>
                    <w:numPr>
                      <w:ilvl w:val="0"/>
                      <w:numId w:val="2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Oversee vendor set up and break down </w:t>
                  </w:r>
                </w:p>
                <w:p w14:paraId="47532507" w14:textId="77777777" w:rsidR="00270AB4" w:rsidRDefault="00270AB4" w:rsidP="00270AB4">
                  <w:pPr>
                    <w:pStyle w:val="font8"/>
                    <w:numPr>
                      <w:ilvl w:val="0"/>
                      <w:numId w:val="2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Unlimited hours of wedding day coverage</w:t>
                  </w:r>
                </w:p>
                <w:p w14:paraId="5BC04C84" w14:textId="77777777" w:rsidR="00270AB4" w:rsidRDefault="00270AB4" w:rsidP="00270AB4">
                  <w:pPr>
                    <w:pStyle w:val="font8"/>
                    <w:numPr>
                      <w:ilvl w:val="0"/>
                      <w:numId w:val="2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Review wedding party roles</w:t>
                  </w:r>
                </w:p>
                <w:p w14:paraId="0E77F412" w14:textId="7F6EAECB" w:rsidR="006A204C" w:rsidRDefault="00270AB4" w:rsidP="00270AB4">
                  <w:pPr>
                    <w:pStyle w:val="font8"/>
                    <w:numPr>
                      <w:ilvl w:val="0"/>
                      <w:numId w:val="2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Manage the organization and flow of the wedding day to ensure the day runs smoothly and on time</w:t>
                  </w:r>
                </w:p>
                <w:p w14:paraId="605F51B0" w14:textId="77777777" w:rsidR="00270AB4" w:rsidRPr="00270AB4" w:rsidRDefault="00270AB4" w:rsidP="00270AB4">
                  <w:pPr>
                    <w:pStyle w:val="font8"/>
                    <w:spacing w:before="0" w:beforeAutospacing="0" w:after="0" w:afterAutospacing="0" w:line="360" w:lineRule="atLeast"/>
                    <w:textAlignment w:val="baseline"/>
                    <w:rPr>
                      <w:rFonts w:ascii="Helvetica" w:hAnsi="Helvetica"/>
                    </w:rPr>
                  </w:pPr>
                </w:p>
                <w:p w14:paraId="5E6E73B6" w14:textId="2B339154" w:rsidR="004670DD" w:rsidRDefault="00270AB4" w:rsidP="00270AB4">
                  <w:pPr>
                    <w:pStyle w:val="font8"/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</w:pPr>
                  <w:r w:rsidRPr="00802A4B"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  <w:t xml:space="preserve"> </w:t>
                  </w:r>
                  <w:r w:rsidR="00802A4B" w:rsidRPr="00802A4B"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  <w:t xml:space="preserve">(Schedule an appointment today to discuss the additional services that are </w:t>
                  </w:r>
                  <w:r w:rsidR="000A0311" w:rsidRPr="00802A4B"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  <w:t>included</w:t>
                  </w:r>
                  <w:r w:rsidR="00802A4B" w:rsidRPr="00802A4B"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  <w:t xml:space="preserve"> in this package! All package can be customized.</w:t>
                  </w:r>
                  <w:r w:rsidR="00577F67"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  <w:t>)</w:t>
                  </w:r>
                </w:p>
                <w:p w14:paraId="6AB8EE44" w14:textId="77777777" w:rsidR="003E4EA1" w:rsidRDefault="003E4EA1" w:rsidP="003E4EA1">
                  <w:pPr>
                    <w:pStyle w:val="font8"/>
                    <w:spacing w:before="0" w:beforeAutospacing="0" w:after="0" w:afterAutospacing="0" w:line="360" w:lineRule="atLeast"/>
                    <w:ind w:left="120"/>
                    <w:jc w:val="center"/>
                    <w:textAlignment w:val="baseline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  <w:p w14:paraId="681A12F9" w14:textId="6201268D" w:rsidR="003E4EA1" w:rsidRPr="003E4EA1" w:rsidRDefault="007F3D7E" w:rsidP="003E4EA1">
                  <w:pPr>
                    <w:pStyle w:val="font8"/>
                    <w:spacing w:before="0" w:beforeAutospacing="0" w:after="0" w:afterAutospacing="0" w:line="360" w:lineRule="atLeast"/>
                    <w:ind w:left="120"/>
                    <w:jc w:val="center"/>
                    <w:textAlignment w:val="baseline"/>
                    <w:rPr>
                      <w:rFonts w:asciiTheme="majorHAnsi" w:eastAsia="Times New Roman" w:hAnsiTheme="majorHAnsi"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starting $7</w:t>
                  </w:r>
                  <w:bookmarkStart w:id="0" w:name="_GoBack"/>
                  <w:bookmarkEnd w:id="0"/>
                  <w:r w:rsidR="003E4EA1" w:rsidRPr="003E4EA1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00</w:t>
                  </w:r>
                </w:p>
              </w:tc>
            </w:tr>
          </w:tbl>
          <w:p w14:paraId="5D575F57" w14:textId="77777777" w:rsidR="00184664" w:rsidRPr="00A85B6F" w:rsidRDefault="00184664" w:rsidP="00CC7AD0"/>
        </w:tc>
        <w:tc>
          <w:tcPr>
            <w:tcW w:w="4456" w:type="dxa"/>
            <w:tcBorders>
              <w:left w:val="single" w:sz="12" w:space="0" w:color="FFCA08" w:themeColor="accent1"/>
            </w:tcBorders>
            <w:tcMar>
              <w:bottom w:w="0" w:type="dxa"/>
            </w:tcMar>
          </w:tcPr>
          <w:tbl>
            <w:tblPr>
              <w:tblW w:w="4411" w:type="dxa"/>
              <w:tblInd w:w="11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1"/>
            </w:tblGrid>
            <w:tr w:rsidR="000A0311" w:rsidRPr="00A85B6F" w14:paraId="7BEA7BEC" w14:textId="77777777" w:rsidTr="000A0311">
              <w:trPr>
                <w:trHeight w:val="1"/>
              </w:trPr>
              <w:tc>
                <w:tcPr>
                  <w:tcW w:w="5000" w:type="pct"/>
                  <w:tcBorders>
                    <w:top w:val="single" w:sz="12" w:space="0" w:color="FFCA08" w:themeColor="accent1"/>
                    <w:bottom w:val="single" w:sz="12" w:space="0" w:color="FFCA08" w:themeColor="accent1"/>
                    <w:right w:val="single" w:sz="12" w:space="0" w:color="FFCA08" w:themeColor="accent1"/>
                  </w:tcBorders>
                  <w:shd w:val="clear" w:color="auto" w:fill="FFCA08" w:themeFill="accent1"/>
                  <w:tcMar>
                    <w:top w:w="0" w:type="dxa"/>
                  </w:tcMar>
                </w:tcPr>
                <w:p w14:paraId="7BF1878F" w14:textId="7664D824" w:rsidR="00184664" w:rsidRPr="00A85B6F" w:rsidRDefault="003940E9" w:rsidP="006A204C">
                  <w:pPr>
                    <w:pStyle w:val="Heading3"/>
                  </w:pPr>
                  <w:r>
                    <w:rPr>
                      <w:noProof/>
                    </w:rPr>
                    <w:drawing>
                      <wp:inline distT="0" distB="0" distL="0" distR="0" wp14:anchorId="15C4D677" wp14:editId="4CE85FE6">
                        <wp:extent cx="2343785" cy="351599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_0657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785" cy="3515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A0FA0D" w14:textId="77777777" w:rsidR="006337E6" w:rsidRPr="00A85B6F" w:rsidRDefault="006337E6" w:rsidP="00CC7AD0"/>
        </w:tc>
      </w:tr>
    </w:tbl>
    <w:p w14:paraId="199788D0" w14:textId="77777777" w:rsidR="00B56F21" w:rsidRDefault="00B56F21" w:rsidP="004670DD">
      <w:pPr>
        <w:pStyle w:val="NoSpacing"/>
      </w:pPr>
    </w:p>
    <w:sectPr w:rsidR="00B56F21" w:rsidSect="006A204C">
      <w:footerReference w:type="default" r:id="rId8"/>
      <w:headerReference w:type="first" r:id="rId9"/>
      <w:pgSz w:w="12240" w:h="15840"/>
      <w:pgMar w:top="792" w:right="792" w:bottom="792" w:left="79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1E2EB" w14:textId="77777777" w:rsidR="008D4FF6" w:rsidRDefault="008D4FF6" w:rsidP="008B2920">
      <w:pPr>
        <w:spacing w:after="0" w:line="240" w:lineRule="auto"/>
      </w:pPr>
      <w:r>
        <w:separator/>
      </w:r>
    </w:p>
  </w:endnote>
  <w:endnote w:type="continuationSeparator" w:id="0">
    <w:p w14:paraId="605C61E5" w14:textId="77777777" w:rsidR="008D4FF6" w:rsidRDefault="008D4FF6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radley Hand">
    <w:panose1 w:val="00000700000000000000"/>
    <w:charset w:val="00"/>
    <w:family w:val="script"/>
    <w:pitch w:val="variable"/>
    <w:sig w:usb0="800000FF" w:usb1="5000204A" w:usb2="00000000" w:usb3="00000000" w:csb0="0000011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B6A07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8128" w14:textId="77777777" w:rsidR="008D4FF6" w:rsidRDefault="008D4FF6" w:rsidP="008B2920">
      <w:pPr>
        <w:spacing w:after="0" w:line="240" w:lineRule="auto"/>
      </w:pPr>
      <w:r>
        <w:separator/>
      </w:r>
    </w:p>
  </w:footnote>
  <w:footnote w:type="continuationSeparator" w:id="0">
    <w:p w14:paraId="16550C57" w14:textId="77777777" w:rsidR="008D4FF6" w:rsidRDefault="008D4FF6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CA08" w:themeColor="accent1"/>
        <w:left w:val="single" w:sz="12" w:space="0" w:color="FFCA08" w:themeColor="accent1"/>
        <w:bottom w:val="single" w:sz="12" w:space="0" w:color="FFCA08" w:themeColor="accent1"/>
        <w:right w:val="single" w:sz="12" w:space="0" w:color="FFCA08" w:themeColor="accent1"/>
        <w:insideH w:val="single" w:sz="12" w:space="0" w:color="FFCA08" w:themeColor="accent1"/>
        <w:insideV w:val="single" w:sz="12" w:space="0" w:color="FFCA08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4A054837" w14:textId="77777777" w:rsidTr="00142F58">
      <w:sdt>
        <w:sdtPr>
          <w:alias w:val="Your Name:"/>
          <w:tag w:val="Your Name:"/>
          <w:id w:val="-168566760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CA08" w:themeColor="accent1"/>
              </w:tcBorders>
            </w:tcPr>
            <w:p w14:paraId="18B74601" w14:textId="49CEBFF3" w:rsidR="00A85B6F" w:rsidRDefault="00C02AC5" w:rsidP="006A204C">
              <w:pPr>
                <w:pStyle w:val="Heading1"/>
              </w:pPr>
              <w:r>
                <w:t xml:space="preserve">moscato </w:t>
              </w:r>
              <w:r w:rsidR="006A204C">
                <w:t>Package</w:t>
              </w:r>
            </w:p>
          </w:tc>
        </w:sdtContent>
      </w:sdt>
    </w:tr>
    <w:tr w:rsidR="00142F58" w14:paraId="4DCCC123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7B03421" w14:textId="77777777" w:rsidR="00142F58" w:rsidRDefault="00142F58" w:rsidP="00142F58"/>
      </w:tc>
    </w:tr>
  </w:tbl>
  <w:p w14:paraId="431A2BD0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7E3"/>
    <w:multiLevelType w:val="multilevel"/>
    <w:tmpl w:val="C59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27926"/>
    <w:multiLevelType w:val="multilevel"/>
    <w:tmpl w:val="E72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4C"/>
    <w:rsid w:val="000243D1"/>
    <w:rsid w:val="00057F04"/>
    <w:rsid w:val="00075A0C"/>
    <w:rsid w:val="000A0311"/>
    <w:rsid w:val="000A378C"/>
    <w:rsid w:val="0010042F"/>
    <w:rsid w:val="00135C2C"/>
    <w:rsid w:val="00142F58"/>
    <w:rsid w:val="00153ED4"/>
    <w:rsid w:val="00184664"/>
    <w:rsid w:val="001F60D3"/>
    <w:rsid w:val="00270AB4"/>
    <w:rsid w:val="0027115C"/>
    <w:rsid w:val="00293B83"/>
    <w:rsid w:val="00362C4A"/>
    <w:rsid w:val="00390414"/>
    <w:rsid w:val="003940E9"/>
    <w:rsid w:val="003B5B09"/>
    <w:rsid w:val="003E1711"/>
    <w:rsid w:val="003E4EA1"/>
    <w:rsid w:val="0045425A"/>
    <w:rsid w:val="00454631"/>
    <w:rsid w:val="00463A38"/>
    <w:rsid w:val="004670DD"/>
    <w:rsid w:val="0048346B"/>
    <w:rsid w:val="004E4CA5"/>
    <w:rsid w:val="00502D70"/>
    <w:rsid w:val="00510920"/>
    <w:rsid w:val="005741E4"/>
    <w:rsid w:val="00577F67"/>
    <w:rsid w:val="005B0E81"/>
    <w:rsid w:val="00630D36"/>
    <w:rsid w:val="006337E6"/>
    <w:rsid w:val="006A204C"/>
    <w:rsid w:val="006A3CE7"/>
    <w:rsid w:val="006C6DEF"/>
    <w:rsid w:val="006F1734"/>
    <w:rsid w:val="006F57E0"/>
    <w:rsid w:val="00781D13"/>
    <w:rsid w:val="00783C41"/>
    <w:rsid w:val="00787503"/>
    <w:rsid w:val="007E7032"/>
    <w:rsid w:val="007F3D7E"/>
    <w:rsid w:val="00802A4B"/>
    <w:rsid w:val="00833359"/>
    <w:rsid w:val="00853CE2"/>
    <w:rsid w:val="00860491"/>
    <w:rsid w:val="00887A77"/>
    <w:rsid w:val="008B2920"/>
    <w:rsid w:val="008B2DF7"/>
    <w:rsid w:val="008B62A0"/>
    <w:rsid w:val="008D4FF6"/>
    <w:rsid w:val="009039F1"/>
    <w:rsid w:val="009244EC"/>
    <w:rsid w:val="00A213B1"/>
    <w:rsid w:val="00A50A33"/>
    <w:rsid w:val="00A85B6F"/>
    <w:rsid w:val="00AA3476"/>
    <w:rsid w:val="00AA6B7B"/>
    <w:rsid w:val="00AB1351"/>
    <w:rsid w:val="00AB2F1E"/>
    <w:rsid w:val="00AB540C"/>
    <w:rsid w:val="00AC5D83"/>
    <w:rsid w:val="00B41780"/>
    <w:rsid w:val="00B56F21"/>
    <w:rsid w:val="00B67DB0"/>
    <w:rsid w:val="00BD5EFB"/>
    <w:rsid w:val="00BF2F97"/>
    <w:rsid w:val="00C02AC5"/>
    <w:rsid w:val="00C35EFB"/>
    <w:rsid w:val="00C73037"/>
    <w:rsid w:val="00CD7978"/>
    <w:rsid w:val="00D2689C"/>
    <w:rsid w:val="00DF6A6F"/>
    <w:rsid w:val="00E20402"/>
    <w:rsid w:val="00E7158F"/>
    <w:rsid w:val="00E928A3"/>
    <w:rsid w:val="00F67FBA"/>
    <w:rsid w:val="00F74B00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9F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9302A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49A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C49A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customStyle="1" w:styleId="font8">
    <w:name w:val="font_8"/>
    <w:basedOn w:val="Normal"/>
    <w:rsid w:val="006A204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nawineglass/Library/Containers/com.microsoft.Word/Data/Library/Caches/1033/TM16392741/Crisp%20and%20clean%20cover%20letter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MOO.dotx</Template>
  <TotalTime>22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moscato Package</dc:creator>
  <cp:keywords/>
  <dc:description/>
  <cp:lastModifiedBy>HONG TINA TANG</cp:lastModifiedBy>
  <cp:revision>7</cp:revision>
  <cp:lastPrinted>2016-06-29T01:32:00Z</cp:lastPrinted>
  <dcterms:created xsi:type="dcterms:W3CDTF">2020-11-15T00:20:00Z</dcterms:created>
  <dcterms:modified xsi:type="dcterms:W3CDTF">2021-01-30T03:31:00Z</dcterms:modified>
</cp:coreProperties>
</file>